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240" w:lineRule="auto"/>
        <w:rPr>
          <w:rFonts w:ascii="Times New Roman" w:cs="Times New Roman" w:eastAsia="Times New Roman" w:hAnsi="Times New Roman"/>
          <w:b w:val="1"/>
          <w:sz w:val="48"/>
          <w:szCs w:val="48"/>
        </w:rPr>
      </w:pPr>
      <w:bookmarkStart w:colFirst="0" w:colLast="0" w:name="_gjdgxs" w:id="0"/>
      <w:bookmarkEnd w:id="0"/>
      <w:r w:rsidDel="00000000" w:rsidR="00000000" w:rsidRPr="00000000">
        <w:rPr>
          <w:rFonts w:ascii="Times New Roman" w:cs="Times New Roman" w:eastAsia="Times New Roman" w:hAnsi="Times New Roman"/>
          <w:b w:val="1"/>
          <w:sz w:val="48"/>
          <w:szCs w:val="48"/>
          <w:rtl w:val="0"/>
        </w:rPr>
        <w:t xml:space="preserve">Organización asistencial</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Estas recomendaciones son dinámicas y pueden modificarse.</w:t>
      </w:r>
    </w:p>
    <w:p w:rsidR="00000000" w:rsidDel="00000000" w:rsidP="00000000" w:rsidRDefault="00000000" w:rsidRPr="00000000" w14:paraId="00000004">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organización del servicio de salud incluye:</w:t>
      </w:r>
    </w:p>
    <w:p w:rsidR="00000000" w:rsidDel="00000000" w:rsidP="00000000" w:rsidRDefault="00000000" w:rsidRPr="00000000" w14:paraId="00000005">
      <w:pPr>
        <w:numPr>
          <w:ilvl w:val="0"/>
          <w:numId w:val="6"/>
        </w:numPr>
        <w:spacing w:after="0" w:before="280" w:line="240" w:lineRule="auto"/>
        <w:ind w:left="720" w:hanging="360"/>
        <w:rPr/>
      </w:pPr>
      <w:r w:rsidDel="00000000" w:rsidR="00000000" w:rsidRPr="00000000">
        <w:rPr>
          <w:rFonts w:ascii="Times New Roman" w:cs="Times New Roman" w:eastAsia="Times New Roman" w:hAnsi="Times New Roman"/>
          <w:sz w:val="24"/>
          <w:szCs w:val="24"/>
          <w:rtl w:val="0"/>
        </w:rPr>
        <w:t xml:space="preserve">Educación del personal del centro de salud, pacientes y visitantes;</w:t>
      </w:r>
    </w:p>
    <w:p w:rsidR="00000000" w:rsidDel="00000000" w:rsidP="00000000" w:rsidRDefault="00000000" w:rsidRPr="00000000" w14:paraId="00000006">
      <w:pPr>
        <w:numPr>
          <w:ilvl w:val="0"/>
          <w:numId w:val="6"/>
        </w:numPr>
        <w:spacing w:after="28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Carteles con instrucciones para los pacientes y acompañantes.</w:t>
      </w:r>
    </w:p>
    <w:p w:rsidR="00000000" w:rsidDel="00000000" w:rsidP="00000000" w:rsidRDefault="00000000" w:rsidRPr="00000000" w14:paraId="00000007">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Triage</w:t>
      </w:r>
    </w:p>
    <w:p w:rsidR="00000000" w:rsidDel="00000000" w:rsidP="00000000" w:rsidRDefault="00000000" w:rsidRPr="00000000" w14:paraId="00000008">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recomienda realizar triage en el ingreso de pacientes (guardia/sala de espera/orientación) para la búsqueda y atención rápida de casos sospechosos. El agente de salud que realiza el triage deberá informar la presencia del caso al personal del hospital destinado al manejo de los mismos.</w:t>
      </w:r>
    </w:p>
    <w:p w:rsidR="00000000" w:rsidDel="00000000" w:rsidP="00000000" w:rsidRDefault="00000000" w:rsidRPr="00000000" w14:paraId="00000009">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Evaluación de triage:</w:t>
      </w:r>
      <w:r w:rsidDel="00000000" w:rsidR="00000000" w:rsidRPr="00000000">
        <w:rPr>
          <w:rFonts w:ascii="Times New Roman" w:cs="Times New Roman" w:eastAsia="Times New Roman" w:hAnsi="Times New Roman"/>
          <w:sz w:val="24"/>
          <w:szCs w:val="24"/>
          <w:rtl w:val="0"/>
        </w:rPr>
        <w:br w:type="textWrapping"/>
        <w:t xml:space="preserve">Identificar personas con cuadro respiratorio más:</w:t>
      </w:r>
    </w:p>
    <w:p w:rsidR="00000000" w:rsidDel="00000000" w:rsidP="00000000" w:rsidRDefault="00000000" w:rsidRPr="00000000" w14:paraId="0000000A">
      <w:pPr>
        <w:numPr>
          <w:ilvl w:val="0"/>
          <w:numId w:val="7"/>
        </w:numPr>
        <w:spacing w:after="0" w:before="280" w:line="240" w:lineRule="auto"/>
        <w:ind w:left="720" w:hanging="360"/>
        <w:rPr/>
      </w:pPr>
      <w:r w:rsidDel="00000000" w:rsidR="00000000" w:rsidRPr="00000000">
        <w:rPr>
          <w:rFonts w:ascii="Times New Roman" w:cs="Times New Roman" w:eastAsia="Times New Roman" w:hAnsi="Times New Roman"/>
          <w:sz w:val="24"/>
          <w:szCs w:val="24"/>
          <w:rtl w:val="0"/>
        </w:rPr>
        <w:t xml:space="preserve">Antecedentes de viaje a </w:t>
      </w:r>
      <w:hyperlink r:id="rId6">
        <w:r w:rsidDel="00000000" w:rsidR="00000000" w:rsidRPr="00000000">
          <w:rPr>
            <w:rFonts w:ascii="Times New Roman" w:cs="Times New Roman" w:eastAsia="Times New Roman" w:hAnsi="Times New Roman"/>
            <w:color w:val="0000ff"/>
            <w:sz w:val="24"/>
            <w:szCs w:val="24"/>
            <w:u w:val="single"/>
            <w:rtl w:val="0"/>
          </w:rPr>
          <w:t xml:space="preserve">zonas con transmisión sostenida.</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numPr>
          <w:ilvl w:val="0"/>
          <w:numId w:val="7"/>
        </w:numPr>
        <w:spacing w:after="28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Contacto estrecho de casos sospechoso o confirmado de COVID-19.</w:t>
      </w:r>
    </w:p>
    <w:p w:rsidR="00000000" w:rsidDel="00000000" w:rsidP="00000000" w:rsidRDefault="00000000" w:rsidRPr="00000000" w14:paraId="0000000C">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Manejo de casos</w:t>
      </w:r>
    </w:p>
    <w:p w:rsidR="00000000" w:rsidDel="00000000" w:rsidP="00000000" w:rsidRDefault="00000000" w:rsidRPr="00000000" w14:paraId="0000000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Aislamiento de pacientes sintomáticos y medidas de protección personal</w:t>
      </w:r>
      <w:r w:rsidDel="00000000" w:rsidR="00000000" w:rsidRPr="00000000">
        <w:rPr>
          <w:rtl w:val="0"/>
        </w:rPr>
      </w:r>
    </w:p>
    <w:p w:rsidR="00000000" w:rsidDel="00000000" w:rsidP="00000000" w:rsidRDefault="00000000" w:rsidRPr="00000000" w14:paraId="0000000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 Ambulatorio (consulta inicial)</w:t>
      </w:r>
      <w:r w:rsidDel="00000000" w:rsidR="00000000" w:rsidRPr="00000000">
        <w:rPr>
          <w:rtl w:val="0"/>
        </w:rPr>
      </w:r>
    </w:p>
    <w:p w:rsidR="00000000" w:rsidDel="00000000" w:rsidP="00000000" w:rsidRDefault="00000000" w:rsidRPr="00000000" w14:paraId="0000000F">
      <w:pPr>
        <w:numPr>
          <w:ilvl w:val="0"/>
          <w:numId w:val="1"/>
        </w:numPr>
        <w:spacing w:after="0" w:before="280" w:line="240" w:lineRule="auto"/>
        <w:ind w:left="720" w:hanging="360"/>
        <w:rPr/>
      </w:pPr>
      <w:r w:rsidDel="00000000" w:rsidR="00000000" w:rsidRPr="00000000">
        <w:rPr>
          <w:rFonts w:ascii="Times New Roman" w:cs="Times New Roman" w:eastAsia="Times New Roman" w:hAnsi="Times New Roman"/>
          <w:sz w:val="24"/>
          <w:szCs w:val="24"/>
          <w:rtl w:val="0"/>
        </w:rPr>
        <w:t xml:space="preserve">Debido a que la dinámica de transmisión aún no se ha determinado, se debe proveer al paciente de un barbijo quirúrgico tan pronto como se identifique explicando el uso del mismo.</w:t>
      </w:r>
    </w:p>
    <w:p w:rsidR="00000000" w:rsidDel="00000000" w:rsidP="00000000" w:rsidRDefault="00000000" w:rsidRPr="00000000" w14:paraId="00000010">
      <w:pPr>
        <w:numPr>
          <w:ilvl w:val="0"/>
          <w:numId w:val="1"/>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La evaluación se deberá realizar en una habitación privada con ventilación adecuada y con la puerta cerrada, idealmente destinada para estos casos.</w:t>
      </w:r>
    </w:p>
    <w:p w:rsidR="00000000" w:rsidDel="00000000" w:rsidP="00000000" w:rsidRDefault="00000000" w:rsidRPr="00000000" w14:paraId="00000011">
      <w:pPr>
        <w:numPr>
          <w:ilvl w:val="0"/>
          <w:numId w:val="1"/>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Para salas generales se considera adecuada una ventilación natural de 60 L/s por paciente.</w:t>
      </w:r>
    </w:p>
    <w:p w:rsidR="00000000" w:rsidDel="00000000" w:rsidP="00000000" w:rsidRDefault="00000000" w:rsidRPr="00000000" w14:paraId="00000012">
      <w:pPr>
        <w:numPr>
          <w:ilvl w:val="0"/>
          <w:numId w:val="1"/>
        </w:numPr>
        <w:spacing w:after="28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El personal de atención médica que ingresa a la habitación debe usar las medidas habituales de precaución estándar, de contacto y para transmisión por gota.</w:t>
      </w:r>
    </w:p>
    <w:p w:rsidR="00000000" w:rsidDel="00000000" w:rsidP="00000000" w:rsidRDefault="00000000" w:rsidRPr="00000000" w14:paraId="00000013">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Precauciones estándar y de contacto:</w:t>
      </w:r>
      <w:r w:rsidDel="00000000" w:rsidR="00000000" w:rsidRPr="00000000">
        <w:rPr>
          <w:rtl w:val="0"/>
        </w:rPr>
      </w:r>
    </w:p>
    <w:p w:rsidR="00000000" w:rsidDel="00000000" w:rsidP="00000000" w:rsidRDefault="00000000" w:rsidRPr="00000000" w14:paraId="00000014">
      <w:pPr>
        <w:numPr>
          <w:ilvl w:val="0"/>
          <w:numId w:val="2"/>
        </w:numPr>
        <w:spacing w:after="0" w:before="280" w:line="240" w:lineRule="auto"/>
        <w:ind w:left="720" w:hanging="360"/>
        <w:rPr/>
      </w:pPr>
      <w:r w:rsidDel="00000000" w:rsidR="00000000" w:rsidRPr="00000000">
        <w:rPr>
          <w:rFonts w:ascii="Times New Roman" w:cs="Times New Roman" w:eastAsia="Times New Roman" w:hAnsi="Times New Roman"/>
          <w:sz w:val="24"/>
          <w:szCs w:val="24"/>
          <w:rtl w:val="0"/>
        </w:rPr>
        <w:t xml:space="preserve">Realizar higiene de manos de acuerdo a las </w:t>
      </w:r>
      <w:hyperlink r:id="rId7">
        <w:r w:rsidDel="00000000" w:rsidR="00000000" w:rsidRPr="00000000">
          <w:rPr>
            <w:rFonts w:ascii="Times New Roman" w:cs="Times New Roman" w:eastAsia="Times New Roman" w:hAnsi="Times New Roman"/>
            <w:color w:val="0000ff"/>
            <w:sz w:val="24"/>
            <w:szCs w:val="24"/>
            <w:u w:val="single"/>
            <w:rtl w:val="0"/>
          </w:rPr>
          <w:t xml:space="preserve">recomendaciones de la OMS.</w:t>
        </w:r>
      </w:hyperlink>
      <w:r w:rsidDel="00000000" w:rsidR="00000000" w:rsidRPr="00000000">
        <w:rPr>
          <w:rtl w:val="0"/>
        </w:rPr>
      </w:r>
    </w:p>
    <w:p w:rsidR="00000000" w:rsidDel="00000000" w:rsidP="00000000" w:rsidRDefault="00000000" w:rsidRPr="00000000" w14:paraId="00000015">
      <w:pPr>
        <w:numPr>
          <w:ilvl w:val="0"/>
          <w:numId w:val="2"/>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Usar guantes.</w:t>
      </w:r>
    </w:p>
    <w:p w:rsidR="00000000" w:rsidDel="00000000" w:rsidP="00000000" w:rsidRDefault="00000000" w:rsidRPr="00000000" w14:paraId="00000016">
      <w:pPr>
        <w:numPr>
          <w:ilvl w:val="0"/>
          <w:numId w:val="2"/>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Usar camisolín.</w:t>
      </w:r>
    </w:p>
    <w:p w:rsidR="00000000" w:rsidDel="00000000" w:rsidP="00000000" w:rsidRDefault="00000000" w:rsidRPr="00000000" w14:paraId="00000017">
      <w:pPr>
        <w:numPr>
          <w:ilvl w:val="0"/>
          <w:numId w:val="2"/>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Utilizar barbijo quirúrgico (se deben colocar y retirar fuera de la habitación del paciente, descartarlo en el lugar apropiado).</w:t>
      </w:r>
    </w:p>
    <w:p w:rsidR="00000000" w:rsidDel="00000000" w:rsidP="00000000" w:rsidRDefault="00000000" w:rsidRPr="00000000" w14:paraId="00000018">
      <w:pPr>
        <w:numPr>
          <w:ilvl w:val="0"/>
          <w:numId w:val="2"/>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Se debe realizar la higiene de manos luego de retirarse los elementos de protección personal.</w:t>
      </w:r>
    </w:p>
    <w:p w:rsidR="00000000" w:rsidDel="00000000" w:rsidP="00000000" w:rsidRDefault="00000000" w:rsidRPr="00000000" w14:paraId="00000019">
      <w:pPr>
        <w:numPr>
          <w:ilvl w:val="0"/>
          <w:numId w:val="2"/>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Utilizar protección para los ojos o máscara facial, dependiendo de la exposición anticipada.</w:t>
      </w:r>
    </w:p>
    <w:p w:rsidR="00000000" w:rsidDel="00000000" w:rsidP="00000000" w:rsidRDefault="00000000" w:rsidRPr="00000000" w14:paraId="0000001A">
      <w:pPr>
        <w:numPr>
          <w:ilvl w:val="0"/>
          <w:numId w:val="2"/>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Asegurar prácticas seguras de inyección o extracción de sangre.</w:t>
      </w:r>
    </w:p>
    <w:p w:rsidR="00000000" w:rsidDel="00000000" w:rsidP="00000000" w:rsidRDefault="00000000" w:rsidRPr="00000000" w14:paraId="0000001B">
      <w:pPr>
        <w:numPr>
          <w:ilvl w:val="0"/>
          <w:numId w:val="2"/>
        </w:numPr>
        <w:spacing w:after="28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Para más información en control de infecciones consultar: </w:t>
      </w:r>
      <w:hyperlink r:id="rId8">
        <w:r w:rsidDel="00000000" w:rsidR="00000000" w:rsidRPr="00000000">
          <w:rPr>
            <w:rFonts w:ascii="Times New Roman" w:cs="Times New Roman" w:eastAsia="Times New Roman" w:hAnsi="Times New Roman"/>
            <w:color w:val="0000ff"/>
            <w:sz w:val="24"/>
            <w:szCs w:val="24"/>
            <w:u w:val="single"/>
            <w:rtl w:val="0"/>
          </w:rPr>
          <w:t xml:space="preserve">Prevención y control de infecciones asociadas a la atención de la salud.</w:t>
        </w:r>
      </w:hyperlink>
      <w:r w:rsidDel="00000000" w:rsidR="00000000" w:rsidRPr="00000000">
        <w:rPr>
          <w:rtl w:val="0"/>
        </w:rPr>
      </w:r>
    </w:p>
    <w:p w:rsidR="00000000" w:rsidDel="00000000" w:rsidP="00000000" w:rsidRDefault="00000000" w:rsidRPr="00000000" w14:paraId="0000001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extensión de la aplicación de las precauciones estándar durante el cuidado del paciente está determinada por la naturaleza de la interacción entre el personal de salud, el paciente y el grado de exposición anticipada a la sangre o los fluidos corporales.</w:t>
      </w:r>
    </w:p>
    <w:p w:rsidR="00000000" w:rsidDel="00000000" w:rsidP="00000000" w:rsidRDefault="00000000" w:rsidRPr="00000000" w14:paraId="0000001D">
      <w:pPr>
        <w:numPr>
          <w:ilvl w:val="0"/>
          <w:numId w:val="3"/>
        </w:numPr>
        <w:spacing w:after="280" w:before="280" w:line="240" w:lineRule="auto"/>
        <w:ind w:left="720" w:hanging="360"/>
        <w:rPr/>
      </w:pPr>
      <w:r w:rsidDel="00000000" w:rsidR="00000000" w:rsidRPr="00000000">
        <w:rPr>
          <w:rFonts w:ascii="Times New Roman" w:cs="Times New Roman" w:eastAsia="Times New Roman" w:hAnsi="Times New Roman"/>
          <w:sz w:val="24"/>
          <w:szCs w:val="24"/>
          <w:rtl w:val="0"/>
        </w:rPr>
        <w:t xml:space="preserve">Los equipos o elementos en el entorno del paciente que puedan haber sido contaminados con fluidos corporales infecciosos deben manipularse de manera que se evite la transmisión de agentes infecciosos (utilizar guantes para contacto directo, descartar equipos muy sucios en contenedores adecuados, limpiar y desinfectar o esterilizar adecuadamente equipos reutilizables antes de usar en otros pacientes).</w:t>
      </w:r>
    </w:p>
    <w:p w:rsidR="00000000" w:rsidDel="00000000" w:rsidP="00000000" w:rsidRDefault="00000000" w:rsidRPr="00000000" w14:paraId="0000001E">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 Internación</w:t>
      </w:r>
      <w:r w:rsidDel="00000000" w:rsidR="00000000" w:rsidRPr="00000000">
        <w:rPr>
          <w:rtl w:val="0"/>
        </w:rPr>
      </w:r>
    </w:p>
    <w:p w:rsidR="00000000" w:rsidDel="00000000" w:rsidP="00000000" w:rsidRDefault="00000000" w:rsidRPr="00000000" w14:paraId="0000001F">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OMS recomienda que a todos los pacientes sospechosos se les realice aislamiento en centros hospitalarios. Esto implica la internación, hasta que los resultados de laboratorio confirmen o descarten el diagnóstico. En los casos confirmados se mantendrá el aislamiento hasta que el paciente se encuentre asintomático.</w:t>
      </w:r>
    </w:p>
    <w:p w:rsidR="00000000" w:rsidDel="00000000" w:rsidP="00000000" w:rsidRDefault="00000000" w:rsidRPr="00000000" w14:paraId="00000020">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Recomendaciones para el aislamiento:</w:t>
      </w:r>
    </w:p>
    <w:p w:rsidR="00000000" w:rsidDel="00000000" w:rsidP="00000000" w:rsidRDefault="00000000" w:rsidRPr="00000000" w14:paraId="00000021">
      <w:pPr>
        <w:numPr>
          <w:ilvl w:val="0"/>
          <w:numId w:val="4"/>
        </w:numPr>
        <w:spacing w:after="0" w:before="280" w:line="240" w:lineRule="auto"/>
        <w:ind w:left="720" w:hanging="360"/>
        <w:rPr/>
      </w:pPr>
      <w:r w:rsidDel="00000000" w:rsidR="00000000" w:rsidRPr="00000000">
        <w:rPr>
          <w:rFonts w:ascii="Times New Roman" w:cs="Times New Roman" w:eastAsia="Times New Roman" w:hAnsi="Times New Roman"/>
          <w:sz w:val="24"/>
          <w:szCs w:val="24"/>
          <w:rtl w:val="0"/>
        </w:rPr>
        <w:t xml:space="preserve">Colocar al paciente en habitación individual (de ser posible con baño privado), con ventilación adecuada.</w:t>
      </w:r>
    </w:p>
    <w:p w:rsidR="00000000" w:rsidDel="00000000" w:rsidP="00000000" w:rsidRDefault="00000000" w:rsidRPr="00000000" w14:paraId="00000022">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Cuando no haya habitaciones individuales disponibles, los pacientes sospechosos de estar infectado con COVID-19 pueden ser agrupados.</w:t>
      </w:r>
    </w:p>
    <w:p w:rsidR="00000000" w:rsidDel="00000000" w:rsidP="00000000" w:rsidRDefault="00000000" w:rsidRPr="00000000" w14:paraId="00000023">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Todas las camas de los pacientes deben colocarse al menos a 1 m de distancia independientemente de si se sospecha que tienen infección por COVID-19.</w:t>
      </w:r>
    </w:p>
    <w:p w:rsidR="00000000" w:rsidDel="00000000" w:rsidP="00000000" w:rsidRDefault="00000000" w:rsidRPr="00000000" w14:paraId="00000024">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Donde sea posible, los casos sospechosos o confirmados deberían ser asistidos por un equipo de trabajadores sanitarios designados para atenderlos de forma exclusiva, para reducir el riesgo de diseminación.</w:t>
      </w:r>
    </w:p>
    <w:p w:rsidR="00000000" w:rsidDel="00000000" w:rsidP="00000000" w:rsidRDefault="00000000" w:rsidRPr="00000000" w14:paraId="00000025">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Proporcionar barbijo quirúrgico al paciente para cualquier desplazamiento fuera de la habitación.</w:t>
      </w:r>
    </w:p>
    <w:p w:rsidR="00000000" w:rsidDel="00000000" w:rsidP="00000000" w:rsidRDefault="00000000" w:rsidRPr="00000000" w14:paraId="00000026">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Realizar higiene de manos de acuerdo a las </w:t>
      </w:r>
      <w:hyperlink r:id="rId9">
        <w:r w:rsidDel="00000000" w:rsidR="00000000" w:rsidRPr="00000000">
          <w:rPr>
            <w:rFonts w:ascii="Times New Roman" w:cs="Times New Roman" w:eastAsia="Times New Roman" w:hAnsi="Times New Roman"/>
            <w:color w:val="0000ff"/>
            <w:sz w:val="24"/>
            <w:szCs w:val="24"/>
            <w:u w:val="single"/>
            <w:rtl w:val="0"/>
          </w:rPr>
          <w:t xml:space="preserve">recomendaciones de la OMS</w:t>
        </w:r>
      </w:hyperlink>
      <w:r w:rsidDel="00000000" w:rsidR="00000000" w:rsidRPr="00000000">
        <w:rPr>
          <w:rtl w:val="0"/>
        </w:rPr>
      </w:r>
    </w:p>
    <w:p w:rsidR="00000000" w:rsidDel="00000000" w:rsidP="00000000" w:rsidRDefault="00000000" w:rsidRPr="00000000" w14:paraId="00000027">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Utilizar guantes.</w:t>
      </w:r>
    </w:p>
    <w:p w:rsidR="00000000" w:rsidDel="00000000" w:rsidP="00000000" w:rsidRDefault="00000000" w:rsidRPr="00000000" w14:paraId="00000028">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Usar camisolín.</w:t>
      </w:r>
    </w:p>
    <w:p w:rsidR="00000000" w:rsidDel="00000000" w:rsidP="00000000" w:rsidRDefault="00000000" w:rsidRPr="00000000" w14:paraId="00000029">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Utilizar barbijo quirúrgico para todas las interacciones que puedan involucrar el contacto con el paciente o con áreas potencialmente contaminadas en el entorno del paciente.</w:t>
      </w:r>
    </w:p>
    <w:p w:rsidR="00000000" w:rsidDel="00000000" w:rsidP="00000000" w:rsidRDefault="00000000" w:rsidRPr="00000000" w14:paraId="0000002A">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Utilizar protección para los ojos o máscara facial.</w:t>
      </w:r>
    </w:p>
    <w:p w:rsidR="00000000" w:rsidDel="00000000" w:rsidP="00000000" w:rsidRDefault="00000000" w:rsidRPr="00000000" w14:paraId="0000002B">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Asegurar prácticas seguras de inyección o extracción de sangre.</w:t>
      </w:r>
    </w:p>
    <w:p w:rsidR="00000000" w:rsidDel="00000000" w:rsidP="00000000" w:rsidRDefault="00000000" w:rsidRPr="00000000" w14:paraId="0000002C">
      <w:pPr>
        <w:numPr>
          <w:ilvl w:val="0"/>
          <w:numId w:val="4"/>
        </w:numPr>
        <w:spacing w:after="28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La OMS recomienda el uso de respiradores N95 o de nivel superior para los procedimientos invasivos que pueden provocar aerosolización (tales como intubación, toma de muestras respiratorias o aspiración de secreciones: hisopado, orofaringeos/nasofaríngeos). En el resto de las situaciones, sólo indica precaución de transmisión por gotas y aislamiento de contacto.</w:t>
      </w:r>
    </w:p>
    <w:p w:rsidR="00000000" w:rsidDel="00000000" w:rsidP="00000000" w:rsidRDefault="00000000" w:rsidRPr="00000000" w14:paraId="0000002D">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aislamiento del paciente se mantendrá durante el periodo sintomático. Esta recomendación puede modificarse según nuevas evidencias.</w:t>
      </w:r>
    </w:p>
    <w:p w:rsidR="00000000" w:rsidDel="00000000" w:rsidP="00000000" w:rsidRDefault="00000000" w:rsidRPr="00000000" w14:paraId="0000002E">
      <w:pPr>
        <w:spacing w:after="280" w:before="280" w:line="240" w:lineRule="auto"/>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Medidas de desinfección</w:t>
      </w:r>
    </w:p>
    <w:p w:rsidR="00000000" w:rsidDel="00000000" w:rsidP="00000000" w:rsidRDefault="00000000" w:rsidRPr="00000000" w14:paraId="0000002F">
      <w:pPr>
        <w:numPr>
          <w:ilvl w:val="0"/>
          <w:numId w:val="5"/>
        </w:numPr>
        <w:spacing w:after="0" w:before="280" w:line="240" w:lineRule="auto"/>
        <w:ind w:left="720" w:hanging="360"/>
        <w:rPr/>
      </w:pPr>
      <w:r w:rsidDel="00000000" w:rsidR="00000000" w:rsidRPr="00000000">
        <w:rPr>
          <w:rFonts w:ascii="Times New Roman" w:cs="Times New Roman" w:eastAsia="Times New Roman" w:hAnsi="Times New Roman"/>
          <w:sz w:val="24"/>
          <w:szCs w:val="24"/>
          <w:rtl w:val="0"/>
        </w:rPr>
        <w:t xml:space="preserve">Se debe realizar la limpieza y desinfección de las superficies con las que ha estado en contacto el paciente.</w:t>
      </w:r>
    </w:p>
    <w:p w:rsidR="00000000" w:rsidDel="00000000" w:rsidP="00000000" w:rsidRDefault="00000000" w:rsidRPr="00000000" w14:paraId="00000030">
      <w:pPr>
        <w:numPr>
          <w:ilvl w:val="0"/>
          <w:numId w:val="5"/>
        </w:numPr>
        <w:spacing w:after="28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La limpieza y desinfección se realizará con un desinfectante incluido en la política de limpieza y desinfección del centro sanitario o con una solución de hipoclorito sódico que contenga 1000 ppm de cloro activo (dilución 1:50 de lavandina con concentración 40-50 gr/litro preparada recientemente).</w:t>
        <w:br w:type="textWrapping"/>
      </w:r>
      <w:r w:rsidDel="00000000" w:rsidR="00000000" w:rsidRPr="00000000">
        <w:rPr>
          <w:rFonts w:ascii="Times New Roman" w:cs="Times New Roman" w:eastAsia="Times New Roman" w:hAnsi="Times New Roman"/>
          <w:i w:val="1"/>
          <w:sz w:val="24"/>
          <w:szCs w:val="24"/>
          <w:rtl w:val="0"/>
        </w:rPr>
        <w:t xml:space="preserve">Estos virus se inactivan tras 5 minutos de contacto con desinfectantes de uso habitual como lavandina doméstica.</w:t>
      </w:r>
      <w:r w:rsidDel="00000000" w:rsidR="00000000" w:rsidRPr="00000000">
        <w:rPr>
          <w:rtl w:val="0"/>
        </w:rPr>
      </w:r>
    </w:p>
    <w:p w:rsidR="00000000" w:rsidDel="00000000" w:rsidP="00000000" w:rsidRDefault="00000000" w:rsidRPr="00000000" w14:paraId="0000003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personal de limpieza utilizará equipo de protección individual adecuado para la prevención de infección por microorganismos transmitidos por gotas y por contacto que incluya: bata impermeable, barbijo, guantes y protección ocular de montura integral.</w:t>
      </w:r>
    </w:p>
    <w:p w:rsidR="00000000" w:rsidDel="00000000" w:rsidP="00000000" w:rsidRDefault="00000000" w:rsidRPr="00000000" w14:paraId="00000032">
      <w:pPr>
        <w:rPr/>
      </w:pPr>
      <w:r w:rsidDel="00000000" w:rsidR="00000000" w:rsidRPr="00000000">
        <w:rPr>
          <w:rtl w:val="0"/>
        </w:rPr>
      </w:r>
    </w:p>
    <w:sectPr>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ho.int/gpsc/5may/Hand_Hygiene_When_How_Leaflet_OPC_Sp_web_2012.pdf?ua=1" TargetMode="External"/><Relationship Id="rId5" Type="http://schemas.openxmlformats.org/officeDocument/2006/relationships/styles" Target="styles.xml"/><Relationship Id="rId6" Type="http://schemas.openxmlformats.org/officeDocument/2006/relationships/hyperlink" Target="https://www.argentina.gob.ar/salud/coronavirus-COVID-19/zonas-con-transmision-local" TargetMode="External"/><Relationship Id="rId7" Type="http://schemas.openxmlformats.org/officeDocument/2006/relationships/hyperlink" Target="https://www.who.int/gpsc/5may/Hand_Hygiene_When_How_Leaflet_OPC_Sp_web_2012.pdf?ua=1" TargetMode="External"/><Relationship Id="rId8" Type="http://schemas.openxmlformats.org/officeDocument/2006/relationships/hyperlink" Target="https://www.paho.org/hq/index.php?option=com_docman&amp;view=download&amp;category_slug=publicaciones-tecnicas-investigacion-5602&amp;alias=40356-prevencion-control-infecciones-asociadas-a-atencion-salud-recomendaciones-basicas-2018-356&amp;Itemid=270&amp;l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