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6A1BD" w14:textId="1D8B96E4" w:rsidR="00F721C5" w:rsidRDefault="00F721C5">
      <w:pPr>
        <w:ind w:left="360"/>
        <w:jc w:val="both"/>
        <w:rPr>
          <w:rStyle w:val="Ninguno"/>
          <w:b/>
          <w:bCs/>
        </w:rPr>
      </w:pP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409C7F6D" wp14:editId="0F2860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2025" cy="987425"/>
            <wp:effectExtent l="0" t="0" r="9525" b="3175"/>
            <wp:wrapTight wrapText="bothSides">
              <wp:wrapPolygon edited="0">
                <wp:start x="8554" y="0"/>
                <wp:lineTo x="4705" y="833"/>
                <wp:lineTo x="0" y="4584"/>
                <wp:lineTo x="0" y="15002"/>
                <wp:lineTo x="4277" y="20003"/>
                <wp:lineTo x="8554" y="21253"/>
                <wp:lineTo x="12832" y="21253"/>
                <wp:lineTo x="17109" y="20003"/>
                <wp:lineTo x="21386" y="17086"/>
                <wp:lineTo x="21386" y="4584"/>
                <wp:lineTo x="17109" y="1250"/>
                <wp:lineTo x="12832" y="0"/>
                <wp:lineTo x="855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A4A0" w14:textId="77777777" w:rsidR="00F721C5" w:rsidRDefault="00F721C5">
      <w:pPr>
        <w:ind w:left="360"/>
        <w:jc w:val="both"/>
        <w:rPr>
          <w:rStyle w:val="Ninguno"/>
          <w:b/>
          <w:bCs/>
        </w:rPr>
      </w:pPr>
    </w:p>
    <w:p w14:paraId="73338D93" w14:textId="77777777" w:rsidR="00F721C5" w:rsidRDefault="00F721C5">
      <w:pPr>
        <w:ind w:left="360"/>
        <w:jc w:val="both"/>
        <w:rPr>
          <w:rStyle w:val="Ninguno"/>
          <w:b/>
          <w:bCs/>
        </w:rPr>
      </w:pPr>
    </w:p>
    <w:p w14:paraId="1BCB3F8F" w14:textId="77777777" w:rsidR="00F721C5" w:rsidRDefault="00F721C5" w:rsidP="00F721C5">
      <w:pPr>
        <w:ind w:left="360"/>
        <w:jc w:val="center"/>
        <w:rPr>
          <w:rStyle w:val="Ninguno"/>
          <w:b/>
          <w:bCs/>
        </w:rPr>
      </w:pPr>
    </w:p>
    <w:p w14:paraId="769D4AA5" w14:textId="77777777" w:rsidR="00F721C5" w:rsidRDefault="00F721C5" w:rsidP="00F721C5">
      <w:pPr>
        <w:ind w:left="360"/>
        <w:jc w:val="center"/>
        <w:rPr>
          <w:rStyle w:val="Ninguno"/>
          <w:b/>
          <w:bCs/>
        </w:rPr>
      </w:pPr>
    </w:p>
    <w:p w14:paraId="09951CFB" w14:textId="77777777" w:rsidR="00F721C5" w:rsidRDefault="00F721C5" w:rsidP="00F721C5">
      <w:pPr>
        <w:ind w:left="360"/>
        <w:jc w:val="center"/>
        <w:rPr>
          <w:rStyle w:val="Ninguno"/>
          <w:b/>
          <w:bCs/>
        </w:rPr>
      </w:pPr>
    </w:p>
    <w:p w14:paraId="74E3C75D" w14:textId="77777777" w:rsidR="00F721C5" w:rsidRDefault="00F721C5" w:rsidP="00F721C5">
      <w:pPr>
        <w:ind w:left="360"/>
        <w:jc w:val="center"/>
        <w:rPr>
          <w:rStyle w:val="Ninguno"/>
          <w:b/>
          <w:bCs/>
        </w:rPr>
      </w:pPr>
    </w:p>
    <w:p w14:paraId="5F520DDD" w14:textId="38858248" w:rsidR="006800C9" w:rsidRDefault="00061173" w:rsidP="00F721C5">
      <w:pPr>
        <w:ind w:left="360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ACTUALIZACION DE NORMATIVAS PARA CONSULTORIOS EXTERNOS GENERALES (NO RELACIONADOS EN FORMA DIRECTA CON LA ENFERMEDAD COVID-19).</w:t>
      </w:r>
    </w:p>
    <w:p w14:paraId="69EACAF9" w14:textId="77777777" w:rsidR="006800C9" w:rsidRDefault="006800C9">
      <w:pPr>
        <w:pStyle w:val="Prrafodelista"/>
        <w:jc w:val="both"/>
        <w:rPr>
          <w:rStyle w:val="Ninguno"/>
        </w:rPr>
      </w:pPr>
    </w:p>
    <w:p w14:paraId="6F799DAD" w14:textId="77777777" w:rsidR="006800C9" w:rsidRDefault="006800C9">
      <w:pPr>
        <w:jc w:val="both"/>
        <w:rPr>
          <w:rStyle w:val="Ninguno"/>
        </w:rPr>
      </w:pPr>
    </w:p>
    <w:p w14:paraId="27A2F348" w14:textId="3867284F" w:rsidR="006800C9" w:rsidRDefault="00061173">
      <w:pPr>
        <w:jc w:val="both"/>
        <w:rPr>
          <w:rStyle w:val="Ninguno"/>
        </w:rPr>
      </w:pPr>
      <w:r>
        <w:rPr>
          <w:rStyle w:val="Ninguno"/>
        </w:rPr>
        <w:t xml:space="preserve">En virtud de diferentes normativas comunicadas por entidades diversas, empresas de medicina prepaga, obras sociales y </w:t>
      </w:r>
      <w:r>
        <w:rPr>
          <w:rStyle w:val="Ninguno"/>
        </w:rPr>
        <w:t>empresas de comunicación y/o periodismo, entendemos necesario comunicar una normativa actualizada para la Atención de los Consultorios Externos de los Colegiados. Las presentes son recomendaciones tienen por finalidad brindar un marco de referencia para la</w:t>
      </w:r>
      <w:r>
        <w:rPr>
          <w:rStyle w:val="Ninguno"/>
        </w:rPr>
        <w:t xml:space="preserve"> Protección tanto de los pacientes, como del Personal de Salud y Personal dependiente.</w:t>
      </w:r>
    </w:p>
    <w:p w14:paraId="315BC755" w14:textId="77777777" w:rsidR="006800C9" w:rsidRDefault="006800C9">
      <w:pPr>
        <w:jc w:val="both"/>
        <w:rPr>
          <w:rStyle w:val="Ninguno"/>
        </w:rPr>
      </w:pPr>
    </w:p>
    <w:p w14:paraId="28FAC7DF" w14:textId="77777777" w:rsidR="006800C9" w:rsidRDefault="006800C9">
      <w:pPr>
        <w:jc w:val="both"/>
        <w:rPr>
          <w:rStyle w:val="Ninguno"/>
        </w:rPr>
      </w:pPr>
    </w:p>
    <w:p w14:paraId="37D26E22" w14:textId="2F16ECEA" w:rsidR="006800C9" w:rsidRDefault="00061173">
      <w:pPr>
        <w:jc w:val="both"/>
        <w:rPr>
          <w:rStyle w:val="Ninguno"/>
        </w:rPr>
      </w:pPr>
      <w:r>
        <w:rPr>
          <w:rStyle w:val="Ninguno"/>
        </w:rPr>
        <w:t xml:space="preserve">Si bien todos los pacientes pueden ser definidos como posible caso Sospechoso o Contacto de caso </w:t>
      </w:r>
      <w:proofErr w:type="gramStart"/>
      <w:r>
        <w:rPr>
          <w:rStyle w:val="Ninguno"/>
        </w:rPr>
        <w:t>sospechoso ,</w:t>
      </w:r>
      <w:proofErr w:type="gramEnd"/>
      <w:r>
        <w:rPr>
          <w:rStyle w:val="Ninguno"/>
        </w:rPr>
        <w:t xml:space="preserve"> o ser portadores asintomáticos, las normas están dirigida</w:t>
      </w:r>
      <w:r>
        <w:rPr>
          <w:rStyle w:val="Ninguno"/>
        </w:rPr>
        <w:t>s a organizar la atención de Consultorios para Especialidades no relacionadas en forma directa con esta enfermedad.</w:t>
      </w:r>
    </w:p>
    <w:p w14:paraId="1ED7EA11" w14:textId="77777777" w:rsidR="006800C9" w:rsidRDefault="006800C9">
      <w:pPr>
        <w:jc w:val="both"/>
        <w:rPr>
          <w:rStyle w:val="Ninguno"/>
        </w:rPr>
      </w:pPr>
    </w:p>
    <w:p w14:paraId="5C3B4E3D" w14:textId="77777777" w:rsidR="006800C9" w:rsidRDefault="00061173">
      <w:pPr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Normativas Generales-</w:t>
      </w:r>
    </w:p>
    <w:p w14:paraId="6A355F9C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1CA1E1A1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Solo se atenderán pacientes con Turnos previos asignados. Se instruirá al personal que asigna los Turnos, hacer un i</w:t>
      </w:r>
      <w:r>
        <w:rPr>
          <w:rStyle w:val="Ninguno"/>
          <w:sz w:val="22"/>
          <w:szCs w:val="22"/>
        </w:rPr>
        <w:t>nterrogatorio a los efectos de detectar en los motivos de consulta posibles síntomas relacionados con la enfermedad, a los efectos de derivarlo a los canales de atención correspondiente.</w:t>
      </w:r>
    </w:p>
    <w:p w14:paraId="09599DEE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4E0C6F07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4E0C48E4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Se instruirá a los pacientes para concurrir a la consulta en el hor</w:t>
      </w:r>
      <w:r>
        <w:rPr>
          <w:rStyle w:val="Ninguno"/>
          <w:sz w:val="22"/>
          <w:szCs w:val="22"/>
        </w:rPr>
        <w:t xml:space="preserve">ario establecido, y concurrir sin acompañantes salvo razones de fuerza mayor. </w:t>
      </w:r>
    </w:p>
    <w:p w14:paraId="48553B81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08D89431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77B9C47C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2CB3BB17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La frecuencia de atención será determinada por cada Consultorio en virtud de las características específicas de la especialidad.</w:t>
      </w:r>
    </w:p>
    <w:p w14:paraId="061D2685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275B6288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77DFC74E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La cantidad de personas presentes en sala d</w:t>
      </w:r>
      <w:r>
        <w:rPr>
          <w:rStyle w:val="Ninguno"/>
          <w:sz w:val="22"/>
          <w:szCs w:val="22"/>
        </w:rPr>
        <w:t xml:space="preserve">e espera no podrá exceder la recomendación general de Distanciamiento social de </w:t>
      </w:r>
      <w:r w:rsidRPr="00F721C5">
        <w:rPr>
          <w:rStyle w:val="Ninguno"/>
          <w:sz w:val="22"/>
          <w:szCs w:val="22"/>
          <w:lang w:val="es-AR"/>
        </w:rPr>
        <w:t xml:space="preserve">2 </w:t>
      </w:r>
      <w:r>
        <w:rPr>
          <w:rStyle w:val="Ninguno"/>
          <w:sz w:val="22"/>
          <w:szCs w:val="22"/>
        </w:rPr>
        <w:t xml:space="preserve">metros. </w:t>
      </w:r>
    </w:p>
    <w:p w14:paraId="5EEDFB9D" w14:textId="77777777" w:rsidR="006800C9" w:rsidRDefault="006800C9">
      <w:pPr>
        <w:jc w:val="both"/>
        <w:rPr>
          <w:rStyle w:val="Ninguno"/>
          <w:sz w:val="22"/>
          <w:szCs w:val="22"/>
        </w:rPr>
      </w:pPr>
    </w:p>
    <w:p w14:paraId="6ADA8EAC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 xml:space="preserve">Los pacientes deben concurrir con barbijo o Cubre boca-nariz-mentón. </w:t>
      </w:r>
    </w:p>
    <w:p w14:paraId="5DA0581D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6B6145A5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0DB9C77A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El Personal Médico, de Enfermería o Auxiliar si lo hubiera, y de Recepción atenderán con Bar</w:t>
      </w:r>
      <w:r>
        <w:rPr>
          <w:rStyle w:val="Ninguno"/>
          <w:sz w:val="22"/>
          <w:szCs w:val="22"/>
        </w:rPr>
        <w:t xml:space="preserve">bijo, pudiendo usar gafas de protección o máscara de acuerdo con las circunstancias. </w:t>
      </w:r>
    </w:p>
    <w:p w14:paraId="2B26429A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75D5D905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Es recomendable la desinfección de manos de los concurrentes con alcohol en gel o líquido, así como el lavado de manos frecuente en caso del Profesional.</w:t>
      </w:r>
    </w:p>
    <w:p w14:paraId="27F3952C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46AE724E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2D63F274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 xml:space="preserve">En caso de </w:t>
      </w:r>
      <w:r>
        <w:rPr>
          <w:rStyle w:val="Ninguno"/>
          <w:sz w:val="22"/>
          <w:szCs w:val="22"/>
        </w:rPr>
        <w:t>detectar un posible caso sospechoso se actuará de acuerdo con las normativas generales recomendadas por el Ministerio de Salud.</w:t>
      </w:r>
    </w:p>
    <w:p w14:paraId="6E5916FE" w14:textId="77777777" w:rsidR="006800C9" w:rsidRDefault="006800C9">
      <w:pPr>
        <w:pStyle w:val="Prrafodelista"/>
        <w:jc w:val="both"/>
        <w:rPr>
          <w:rStyle w:val="Ninguno"/>
          <w:sz w:val="22"/>
          <w:szCs w:val="22"/>
        </w:rPr>
      </w:pPr>
    </w:p>
    <w:p w14:paraId="6AD3F9B8" w14:textId="77777777" w:rsidR="006800C9" w:rsidRDefault="00061173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inguno"/>
          <w:sz w:val="22"/>
          <w:szCs w:val="22"/>
        </w:rPr>
        <w:t>Cada profesional podrá agregar otras medidas preventivas, las cuales quedan condicionadas al tipo de consulta y/ o especialidad</w:t>
      </w:r>
      <w:r>
        <w:rPr>
          <w:rStyle w:val="Ninguno"/>
          <w:sz w:val="22"/>
          <w:szCs w:val="22"/>
        </w:rPr>
        <w:t>.</w:t>
      </w:r>
    </w:p>
    <w:p w14:paraId="611FF3F7" w14:textId="77777777" w:rsidR="006800C9" w:rsidRDefault="006800C9">
      <w:pPr>
        <w:jc w:val="both"/>
      </w:pPr>
    </w:p>
    <w:sectPr w:rsidR="006800C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7863" w14:textId="77777777" w:rsidR="00061173" w:rsidRDefault="00061173">
      <w:r>
        <w:separator/>
      </w:r>
    </w:p>
  </w:endnote>
  <w:endnote w:type="continuationSeparator" w:id="0">
    <w:p w14:paraId="53123117" w14:textId="77777777" w:rsidR="00061173" w:rsidRDefault="000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9C38" w14:textId="77777777" w:rsidR="006800C9" w:rsidRDefault="006800C9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158D" w14:textId="77777777" w:rsidR="00061173" w:rsidRDefault="00061173">
      <w:r>
        <w:separator/>
      </w:r>
    </w:p>
  </w:footnote>
  <w:footnote w:type="continuationSeparator" w:id="0">
    <w:p w14:paraId="101AEA9E" w14:textId="77777777" w:rsidR="00061173" w:rsidRDefault="0006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9A97" w14:textId="77777777" w:rsidR="006800C9" w:rsidRDefault="006800C9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010B"/>
    <w:multiLevelType w:val="hybridMultilevel"/>
    <w:tmpl w:val="E5822A64"/>
    <w:numStyleLink w:val="Estiloimportado1"/>
  </w:abstractNum>
  <w:abstractNum w:abstractNumId="1" w15:restartNumberingAfterBreak="0">
    <w:nsid w:val="57F404A9"/>
    <w:multiLevelType w:val="hybridMultilevel"/>
    <w:tmpl w:val="E5822A64"/>
    <w:styleLink w:val="Estiloimportado1"/>
    <w:lvl w:ilvl="0" w:tplc="B49441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0D386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4CC1C">
      <w:start w:val="1"/>
      <w:numFmt w:val="decimal"/>
      <w:lvlText w:val="%3."/>
      <w:lvlJc w:val="left"/>
      <w:pPr>
        <w:tabs>
          <w:tab w:val="left" w:pos="708"/>
          <w:tab w:val="num" w:pos="2160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C940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4D970">
      <w:start w:val="1"/>
      <w:numFmt w:val="decimal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A6D28">
      <w:start w:val="1"/>
      <w:numFmt w:val="decimal"/>
      <w:lvlText w:val="%6."/>
      <w:lvlJc w:val="left"/>
      <w:pPr>
        <w:tabs>
          <w:tab w:val="left" w:pos="708"/>
          <w:tab w:val="num" w:pos="4320"/>
        </w:tabs>
        <w:ind w:left="43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646D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8982E">
      <w:start w:val="1"/>
      <w:numFmt w:val="decimal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4B13C">
      <w:start w:val="1"/>
      <w:numFmt w:val="decimal"/>
      <w:lvlText w:val="%9."/>
      <w:lvlJc w:val="left"/>
      <w:pPr>
        <w:tabs>
          <w:tab w:val="left" w:pos="708"/>
          <w:tab w:val="num" w:pos="6480"/>
        </w:tabs>
        <w:ind w:left="64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C9"/>
    <w:rsid w:val="00061173"/>
    <w:rsid w:val="006800C9"/>
    <w:rsid w:val="00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3E59"/>
  <w15:docId w15:val="{E8834968-AA76-4A5F-A4CC-91D8FD9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Villemur</dc:creator>
  <cp:lastModifiedBy>Magdalena Villemur</cp:lastModifiedBy>
  <cp:revision>2</cp:revision>
  <dcterms:created xsi:type="dcterms:W3CDTF">2020-06-29T21:29:00Z</dcterms:created>
  <dcterms:modified xsi:type="dcterms:W3CDTF">2020-06-29T21:29:00Z</dcterms:modified>
</cp:coreProperties>
</file>